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rPr>
          <w:rFonts w:hint="default" w:asciiTheme="minorEastAsia" w:hAnsiTheme="minorEastAsia" w:eastAsiaTheme="minorEastAsia"/>
          <w:color w:val="auto"/>
          <w:sz w:val="28"/>
          <w:szCs w:val="28"/>
        </w:rPr>
      </w:pPr>
      <w:bookmarkStart w:id="0" w:name="_GoBack"/>
      <w:bookmarkEnd w:id="0"/>
    </w:p>
    <w:p>
      <w:pPr>
        <w:pStyle w:val="2"/>
        <w:snapToGrid w:val="0"/>
        <w:spacing w:line="360" w:lineRule="auto"/>
        <w:rPr>
          <w:rFonts w:hint="default" w:asciiTheme="majorEastAsia" w:hAnsiTheme="majorEastAsia" w:eastAsia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河源市</w:t>
      </w:r>
      <w:r>
        <w:rPr>
          <w:rFonts w:asciiTheme="majorEastAsia" w:hAnsiTheme="majorEastAsia" w:eastAsiaTheme="majorEastAsia"/>
          <w:color w:val="auto"/>
          <w:sz w:val="32"/>
          <w:szCs w:val="32"/>
        </w:rPr>
        <w:t>地方标准《地理标志产品 河源米粉</w:t>
      </w:r>
      <w:r>
        <w:rPr>
          <w:rFonts w:hint="eastAsia" w:asciiTheme="majorEastAsia" w:hAnsiTheme="majorEastAsia" w:eastAsiaTheme="majorEastAsia"/>
          <w:color w:val="auto"/>
          <w:sz w:val="32"/>
          <w:szCs w:val="32"/>
          <w:lang w:eastAsia="zh-CN"/>
        </w:rPr>
        <w:t>加工技术规程</w:t>
      </w:r>
      <w:r>
        <w:rPr>
          <w:rFonts w:asciiTheme="majorEastAsia" w:hAnsiTheme="majorEastAsia" w:eastAsiaTheme="majorEastAsia"/>
          <w:color w:val="auto"/>
          <w:sz w:val="32"/>
          <w:szCs w:val="32"/>
        </w:rPr>
        <w:t>》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ajorEastAsia" w:hAnsiTheme="majorEastAsia" w:eastAsiaTheme="majorEastAsia"/>
          <w:b/>
          <w:bCs/>
          <w:sz w:val="32"/>
          <w:szCs w:val="32"/>
        </w:rPr>
        <w:t>编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 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制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 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说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 xml:space="preserve"> 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一、任务来源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《地理标志产品 河源米粉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加工技术规程</w:t>
      </w:r>
      <w:r>
        <w:rPr>
          <w:rFonts w:hint="eastAsia" w:asciiTheme="minorEastAsia" w:hAnsiTheme="minorEastAsia" w:eastAsiaTheme="minorEastAsia"/>
          <w:sz w:val="28"/>
          <w:szCs w:val="28"/>
        </w:rPr>
        <w:t>》的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制订</w:t>
      </w:r>
      <w:r>
        <w:rPr>
          <w:rFonts w:hint="eastAsia" w:asciiTheme="minorEastAsia" w:hAnsiTheme="minorEastAsia" w:eastAsiaTheme="minorEastAsia"/>
          <w:sz w:val="28"/>
          <w:szCs w:val="28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河源市市场监督管理局提出</w:t>
      </w:r>
      <w:r>
        <w:rPr>
          <w:rFonts w:hint="eastAsia" w:asciiTheme="minorEastAsia" w:hAnsiTheme="minorEastAsia" w:eastAsiaTheme="minorEastAsia"/>
          <w:sz w:val="28"/>
          <w:szCs w:val="28"/>
        </w:rPr>
        <w:t>，由广东霸王花食品有限公司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主导，</w:t>
      </w:r>
      <w:r>
        <w:rPr>
          <w:rFonts w:hint="eastAsia" w:asciiTheme="minorEastAsia" w:hAnsiTheme="minorEastAsia" w:eastAsiaTheme="minorEastAsia"/>
          <w:sz w:val="28"/>
          <w:szCs w:val="28"/>
        </w:rPr>
        <w:t>联合河源市食品检验所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河源合成米面制品有限公司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紫金县金霸食品有限公司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河源市润谷食品有限公司共同起草完成。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编制背景、目的和意义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米粉在河源有着悠久的历史。早在很多年前，河源人民就用自己的智慧，以大米为原料，制造出一种俗称"手排"的大米制品，这种"手排"经千锤百炼，细腻晶莹，不仅可蒸、可煮、可炒、可炸，还可配以不同汤料或佐料，调制出适合各地的风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河源米粉采用传统制作工艺，以万绿湖天然净水(国家地表饮用水Ⅰ类标准)和精选优质大米为原料，采用传统工艺和现代科技精制而成，具有外形美观、清香爽滑、细而不断、久煮不烂、保持大米原有清香和营养健康不上火等特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河源米粉作为河源饮食文化的一张名片，河源市大力发展河源米粉产业，将河源米粉产业作为河源市的重点品牌打造，并坚持全产业链整体推进，进一步提升河源米粉的文化价值，推动形成河源米粉规模化、产业化、标准化、绿色化发展格局，实现河源米粉产业高质量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本行政区域内米粉加工企业规模较大、品种多，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且河源米粉产业的不断扩大，</w:t>
      </w:r>
      <w:r>
        <w:rPr>
          <w:rFonts w:hint="eastAsia" w:asciiTheme="minorEastAsia" w:hAnsiTheme="minorEastAsia" w:eastAsiaTheme="minorEastAsia"/>
          <w:sz w:val="28"/>
          <w:szCs w:val="28"/>
        </w:rPr>
        <w:t>迫切需要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对河源米粉的加工过程进行规范，确保河源米粉的产量以及质量得到提升。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通过制定河源市地方标准《河源米粉加工技术规程》，以标准为抓手，同意规范河源米粉加工技术要求，通过大力发展河源米粉产业，不断增强河源米粉的可持续发展能力和竞争力，加快推动桂林米粉从“地方特产”做成“大产业”，同时为打造河源米粉产业品牌，继续发挥“特色经济”品牌效应，发展壮大河源米粉产业夯实基础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="0" w:leftChars="0" w:firstLine="560" w:firstLineChars="200"/>
        <w:jc w:val="both"/>
        <w:textAlignment w:val="auto"/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项目</w:t>
      </w: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编制思路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成立标准编制工作组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河源市地方标准《河源米粉加工技术规程》项目任务下达后，河源市市场监督局、河源市食品检测所、广东霸王花食品有限公司成立了标准编制工作组，制定了标准编写方案，明确任务职责，确定工作技术路线，开展标准研制工作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收集整理文献资料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标准编制工作组收集了国内有关干制米粉相关文献资料，主要有：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GB/T 1354           大米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 2715             食品安全国家标准 粮食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 5749             生活饮用水卫生标准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GB/T 8885           食用玉米淀粉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default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GB/T 8946           塑料编织袋通用技术要求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360" w:lineRule="auto"/>
        <w:ind w:firstLine="42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 14881            食品安全国家标准 食品生产通用卫生规范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GB 31637         食品安全国家标准 食用淀粉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left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研讨确定标准主体内容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标准编制工作组在对收集的资料进行整理研究之后，标准编制工作组召开了标准编制会议，对标准的整体框架结构进行了研究，并对标准的关键性内容进行了初步探讨。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  <w:t>四、编制过</w:t>
      </w: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480"/>
        <w:textAlignment w:val="auto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（一）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月-20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月，由广东省霸王花食品有限公司会同河源市食品检验所启动对《地理标志产品 河源米粉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加工技术规范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》的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制订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工作。向河源市市场监督管理局提出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制订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48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市市场</w:t>
      </w:r>
      <w:r>
        <w:rPr>
          <w:rFonts w:hint="eastAsia" w:asciiTheme="minorEastAsia" w:hAnsiTheme="minorEastAsia" w:eastAsiaTheme="minorEastAsia"/>
          <w:sz w:val="28"/>
          <w:szCs w:val="28"/>
        </w:rPr>
        <w:t>局正式同意了该标准的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制订</w:t>
      </w:r>
      <w:r>
        <w:rPr>
          <w:rFonts w:hint="eastAsia" w:asciiTheme="minorEastAsia" w:hAnsiTheme="minorEastAsia" w:eastAsiaTheme="minorEastAsia"/>
          <w:sz w:val="28"/>
          <w:szCs w:val="28"/>
        </w:rPr>
        <w:t>请求。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480"/>
        <w:textAlignment w:val="auto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月-20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广东霸王花食品有限公司和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河源市市场监督管理局及其他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相关起草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单位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经多次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沟通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，反复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制订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制定出《地理标志产品 河源米粉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加工技术规范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》初稿。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color w:val="auto"/>
          <w:kern w:val="0"/>
          <w:sz w:val="28"/>
          <w:szCs w:val="28"/>
          <w:lang w:eastAsia="zh-CN"/>
        </w:rPr>
        <w:t>（四）</w:t>
      </w:r>
      <w:r>
        <w:rPr>
          <w:rFonts w:cs="宋体" w:asciiTheme="minorEastAsia" w:hAnsiTheme="minorEastAsia" w:eastAsiaTheme="minorEastAsia"/>
          <w:b w:val="0"/>
          <w:color w:val="auto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b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cs="宋体" w:asciiTheme="minorEastAsia" w:hAnsiTheme="minorEastAsia" w:eastAsiaTheme="minorEastAsia"/>
          <w:b w:val="0"/>
          <w:color w:val="auto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b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cs="宋体" w:asciiTheme="minorEastAsia" w:hAnsiTheme="minorEastAsia" w:eastAsiaTheme="minorEastAsia"/>
          <w:b w:val="0"/>
          <w:color w:val="auto"/>
          <w:kern w:val="0"/>
          <w:sz w:val="28"/>
          <w:szCs w:val="28"/>
        </w:rPr>
        <w:t>月</w:t>
      </w:r>
      <w:r>
        <w:rPr>
          <w:rFonts w:asciiTheme="minorEastAsia" w:hAnsiTheme="minorEastAsia" w:eastAsiaTheme="minorEastAsia"/>
          <w:b w:val="0"/>
          <w:color w:val="auto"/>
          <w:sz w:val="28"/>
          <w:szCs w:val="28"/>
        </w:rPr>
        <w:t>-20</w:t>
      </w:r>
      <w:r>
        <w:rPr>
          <w:rFonts w:hint="eastAsia" w:asciiTheme="minorEastAsia" w:hAnsiTheme="minorEastAsia" w:eastAsiaTheme="minorEastAsia"/>
          <w:b w:val="0"/>
          <w:color w:val="auto"/>
          <w:sz w:val="28"/>
          <w:szCs w:val="28"/>
          <w:lang w:val="en-US" w:eastAsia="zh-CN"/>
        </w:rPr>
        <w:t>24</w:t>
      </w:r>
      <w:r>
        <w:rPr>
          <w:rFonts w:asciiTheme="minorEastAsia" w:hAnsiTheme="minorEastAsia" w:eastAsiaTheme="minorEastAsia"/>
          <w:b w:val="0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 w:val="0"/>
          <w:color w:val="auto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b w:val="0"/>
          <w:color w:val="auto"/>
          <w:sz w:val="28"/>
          <w:szCs w:val="28"/>
        </w:rPr>
        <w:t>月</w:t>
      </w:r>
      <w:r>
        <w:rPr>
          <w:rFonts w:cs="宋体" w:asciiTheme="minorEastAsia" w:hAnsiTheme="minorEastAsia" w:eastAsiaTheme="minorEastAsia"/>
          <w:b w:val="0"/>
          <w:color w:val="auto"/>
          <w:kern w:val="0"/>
          <w:sz w:val="28"/>
          <w:szCs w:val="28"/>
        </w:rPr>
        <w:t>，</w:t>
      </w:r>
      <w:r>
        <w:rPr>
          <w:rFonts w:asciiTheme="minorEastAsia" w:hAnsiTheme="minorEastAsia" w:eastAsiaTheme="minorEastAsia"/>
          <w:b w:val="0"/>
          <w:color w:val="auto"/>
          <w:sz w:val="28"/>
          <w:szCs w:val="28"/>
        </w:rPr>
        <w:t>将征求意见稿发往未参与起草的相关企业、各县质量技术监督局等单位广泛征求意见，并收集相关意见进行了汇总。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五、内容说明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beforeAutospacing="0" w:after="157" w:afterLines="50" w:afterAutospacing="0" w:line="360" w:lineRule="auto"/>
        <w:ind w:firstLine="560" w:firstLineChars="200"/>
        <w:jc w:val="both"/>
        <w:textAlignment w:val="auto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（一）关于标准的适用范围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beforeAutospacing="0" w:after="157" w:afterLines="50" w:afterAutospacing="0" w:line="360" w:lineRule="auto"/>
        <w:ind w:firstLine="560" w:firstLineChars="200"/>
        <w:jc w:val="both"/>
        <w:textAlignment w:val="auto"/>
        <w:rPr>
          <w:rFonts w:hint="eastAsia" w:cs="Arial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标准的适用范围</w:t>
      </w:r>
      <w:r>
        <w:rPr>
          <w:rFonts w:hint="eastAsia" w:asciiTheme="minorEastAsia" w:hAnsiTheme="minorEastAsia" w:eastAsiaTheme="minorEastAsia"/>
          <w:sz w:val="28"/>
          <w:szCs w:val="28"/>
        </w:rPr>
        <w:t>限于国家质量监督检验检疫行政主管部门根据《地理标志产品保护规定》批准的范围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即广东省河源市现辖行政区域内，</w:t>
      </w:r>
      <w:r>
        <w:rPr>
          <w:rFonts w:cs="Arial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其范围是东经114度14分至115度36分，北纬23度10分至24度47分</w:t>
      </w:r>
      <w:r>
        <w:rPr>
          <w:rFonts w:hint="eastAsia" w:cs="Arial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内的河源米粉的生产</w:t>
      </w:r>
      <w:r>
        <w:rPr>
          <w:rFonts w:hint="eastAsia" w:asciiTheme="minorEastAsia" w:hAnsiTheme="minorEastAsia" w:eastAsiaTheme="minorEastAsia"/>
          <w:sz w:val="28"/>
          <w:szCs w:val="28"/>
        </w:rPr>
        <w:t>和经营活动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（二）本标准主要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制订</w:t>
      </w:r>
      <w:r>
        <w:rPr>
          <w:rFonts w:hint="eastAsia" w:asciiTheme="minorEastAsia" w:hAnsiTheme="minorEastAsia" w:eastAsiaTheme="minorEastAsia"/>
          <w:sz w:val="28"/>
          <w:szCs w:val="28"/>
        </w:rPr>
        <w:t>内容的说明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1.标准名称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标准名称为《地理标志产品 河源米粉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技术加工规范</w:t>
      </w:r>
      <w:r>
        <w:rPr>
          <w:rFonts w:hint="eastAsia" w:asciiTheme="minorEastAsia" w:hAnsiTheme="minorEastAsia" w:eastAsiaTheme="minorEastAsia"/>
          <w:sz w:val="28"/>
          <w:szCs w:val="28"/>
        </w:rPr>
        <w:t>》，这是GB/T 17924《地理标志产品 标准通用要求》中的要求。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 规范性引用文件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48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规范性引用文件根据标准中使用的文献进行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制订</w:t>
      </w:r>
      <w:r>
        <w:rPr>
          <w:rFonts w:hint="eastAsia" w:asciiTheme="minorEastAsia" w:hAnsiTheme="minorEastAsia" w:eastAsiaTheme="minorEastAsia"/>
          <w:sz w:val="28"/>
          <w:szCs w:val="28"/>
        </w:rPr>
        <w:t>，其标准号和标准名称全部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制订</w:t>
      </w:r>
      <w:r>
        <w:rPr>
          <w:rFonts w:hint="eastAsia" w:asciiTheme="minorEastAsia" w:hAnsiTheme="minorEastAsia" w:eastAsiaTheme="minorEastAsia"/>
          <w:sz w:val="28"/>
          <w:szCs w:val="28"/>
        </w:rPr>
        <w:t>为最新的版本。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3.主要内容：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ind w:firstLine="48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本标准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规范了生产加工卫生、原辅料和生产用水要求；同时对生产工艺从大米清洗浸泡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- -磨浆- -脱水- -配料、搅拌、初蒸- -挤丝成型- -复蒸- -切块- -烘干- -冷却等各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主要环节做了进一步的规范。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ind w:firstLine="4060" w:firstLineChars="145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ind w:firstLine="4060" w:firstLineChars="145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ind w:firstLine="4060" w:firstLineChars="145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ind w:firstLine="4060" w:firstLineChars="145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广东霸王花食品有限公司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157" w:beforeLines="50" w:after="157" w:afterLines="50" w:line="360" w:lineRule="auto"/>
        <w:ind w:firstLine="4480" w:firstLineChars="16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580" w:lineRule="exact"/>
        <w:ind w:left="5023" w:leftChars="2131" w:hanging="548" w:hangingChars="196"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304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3D747"/>
    <w:multiLevelType w:val="singleLevel"/>
    <w:tmpl w:val="98F3D7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D65887"/>
    <w:multiLevelType w:val="singleLevel"/>
    <w:tmpl w:val="24D658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2ZjOTQ5OWQyNzY5M2E4NDk3MzVhM2YwMzQ1MDAifQ=="/>
  </w:docVars>
  <w:rsids>
    <w:rsidRoot w:val="00B82D45"/>
    <w:rsid w:val="00044F7E"/>
    <w:rsid w:val="00286B4D"/>
    <w:rsid w:val="003E1150"/>
    <w:rsid w:val="00793677"/>
    <w:rsid w:val="008D46DE"/>
    <w:rsid w:val="00A37A25"/>
    <w:rsid w:val="00AE4805"/>
    <w:rsid w:val="00B05951"/>
    <w:rsid w:val="00B20863"/>
    <w:rsid w:val="00B236D7"/>
    <w:rsid w:val="00B82D45"/>
    <w:rsid w:val="00C62DB0"/>
    <w:rsid w:val="00EA1C15"/>
    <w:rsid w:val="00FB70F2"/>
    <w:rsid w:val="04732647"/>
    <w:rsid w:val="05094D59"/>
    <w:rsid w:val="0878647D"/>
    <w:rsid w:val="0966277A"/>
    <w:rsid w:val="0CD81BE1"/>
    <w:rsid w:val="0DAE533D"/>
    <w:rsid w:val="0E3D72F1"/>
    <w:rsid w:val="0FD21EC0"/>
    <w:rsid w:val="10647310"/>
    <w:rsid w:val="18C92470"/>
    <w:rsid w:val="1988673C"/>
    <w:rsid w:val="1AF61D6F"/>
    <w:rsid w:val="1F02384C"/>
    <w:rsid w:val="21F77EE3"/>
    <w:rsid w:val="2439330F"/>
    <w:rsid w:val="25A466AC"/>
    <w:rsid w:val="260333D3"/>
    <w:rsid w:val="26263565"/>
    <w:rsid w:val="285048C9"/>
    <w:rsid w:val="2FCF07C9"/>
    <w:rsid w:val="2FE83639"/>
    <w:rsid w:val="302F74A7"/>
    <w:rsid w:val="30BB38DB"/>
    <w:rsid w:val="324F1398"/>
    <w:rsid w:val="32747406"/>
    <w:rsid w:val="33B012FF"/>
    <w:rsid w:val="38C16599"/>
    <w:rsid w:val="402661E4"/>
    <w:rsid w:val="42D55C9F"/>
    <w:rsid w:val="4445160B"/>
    <w:rsid w:val="45BC5CF7"/>
    <w:rsid w:val="477041E8"/>
    <w:rsid w:val="4F8F45D1"/>
    <w:rsid w:val="507D6B07"/>
    <w:rsid w:val="51654692"/>
    <w:rsid w:val="53113B21"/>
    <w:rsid w:val="541505F1"/>
    <w:rsid w:val="55EE2EA8"/>
    <w:rsid w:val="57B5606C"/>
    <w:rsid w:val="580F5357"/>
    <w:rsid w:val="590A624B"/>
    <w:rsid w:val="5980759C"/>
    <w:rsid w:val="5C070CC1"/>
    <w:rsid w:val="5C7165E1"/>
    <w:rsid w:val="5CE943C9"/>
    <w:rsid w:val="620852F1"/>
    <w:rsid w:val="63C82F8A"/>
    <w:rsid w:val="6EAC1C26"/>
    <w:rsid w:val="706C1141"/>
    <w:rsid w:val="71245BFC"/>
    <w:rsid w:val="7148570A"/>
    <w:rsid w:val="74CF7908"/>
    <w:rsid w:val="75E023B5"/>
    <w:rsid w:val="76662221"/>
    <w:rsid w:val="766E5C13"/>
    <w:rsid w:val="76CE66B2"/>
    <w:rsid w:val="78A6613F"/>
    <w:rsid w:val="78E71CAD"/>
    <w:rsid w:val="791B03DA"/>
    <w:rsid w:val="7DD0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0"/>
    <w:pPr>
      <w:jc w:val="center"/>
    </w:pPr>
    <w:rPr>
      <w:rFonts w:hint="eastAsia" w:ascii="宋体"/>
      <w:b/>
      <w:bCs/>
      <w:color w:val="FF0000"/>
      <w:sz w:val="44"/>
      <w:szCs w:val="36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5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宋体" w:hAnsi="Times New Roman" w:eastAsia="宋体" w:cs="Times New Roman"/>
      <w:b/>
      <w:bCs/>
      <w:color w:val="FF0000"/>
      <w:sz w:val="44"/>
      <w:szCs w:val="36"/>
    </w:rPr>
  </w:style>
  <w:style w:type="paragraph" w:customStyle="1" w:styleId="13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328</Words>
  <Characters>1873</Characters>
  <Lines>15</Lines>
  <Paragraphs>4</Paragraphs>
  <TotalTime>10</TotalTime>
  <ScaleCrop>false</ScaleCrop>
  <LinksUpToDate>false</LinksUpToDate>
  <CharactersWithSpaces>2197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2017-06-07T06:46:00Z</dcterms:created>
  <dc:creator>微软用户</dc:creator>
  <cp:lastModifiedBy>程盈盈</cp:lastModifiedBy>
  <dcterms:modified xsi:type="dcterms:W3CDTF">2024-03-21T06:04:24Z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DC75DE33BCA543F19199B40EA12082CC_13</vt:lpwstr>
  </property>
</Properties>
</file>